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647B44" w14:textId="77777777" w:rsidR="007473DD" w:rsidRDefault="007473DD" w:rsidP="007473DD">
      <w:pPr>
        <w:spacing w:before="120"/>
        <w:ind w:firstLine="0"/>
        <w:jc w:val="both"/>
        <w:rPr>
          <w:rFonts w:ascii="Arial" w:hAnsi="Arial" w:cs="Arial"/>
          <w:szCs w:val="20"/>
        </w:rPr>
      </w:pPr>
    </w:p>
    <w:p w14:paraId="11D9A11E" w14:textId="77777777" w:rsidR="007473DD" w:rsidRPr="00F557C3" w:rsidRDefault="007473DD" w:rsidP="007473DD">
      <w:pPr>
        <w:pStyle w:val="Titre1"/>
      </w:pPr>
      <w:bookmarkStart w:id="0" w:name="_Toc200982588"/>
      <w:r>
        <w:t>ANNEXE 1</w:t>
      </w:r>
      <w:r w:rsidR="00D00A16">
        <w:t xml:space="preserve"> CCTP</w:t>
      </w:r>
      <w:r>
        <w:t xml:space="preserve"> </w:t>
      </w:r>
      <w:r w:rsidRPr="00F557C3">
        <w:t xml:space="preserve">– </w:t>
      </w:r>
      <w:r>
        <w:t>LISTE DE</w:t>
      </w:r>
      <w:r w:rsidR="00D00A16">
        <w:t>S</w:t>
      </w:r>
      <w:r>
        <w:t xml:space="preserve"> LABELS DE QUALITE ET DURABLE</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2474"/>
        <w:gridCol w:w="4556"/>
      </w:tblGrid>
      <w:tr w:rsidR="007473DD" w:rsidRPr="0059477D" w14:paraId="5AC973E2" w14:textId="77777777" w:rsidTr="00551CDA">
        <w:tc>
          <w:tcPr>
            <w:tcW w:w="1725" w:type="dxa"/>
            <w:shd w:val="clear" w:color="auto" w:fill="auto"/>
            <w:vAlign w:val="center"/>
          </w:tcPr>
          <w:p w14:paraId="6506C554" w14:textId="77777777" w:rsidR="007473DD" w:rsidRPr="0059477D" w:rsidRDefault="007473DD" w:rsidP="00551CDA">
            <w:pPr>
              <w:spacing w:after="120"/>
              <w:jc w:val="center"/>
              <w:rPr>
                <w:rFonts w:ascii="Arial" w:hAnsi="Arial" w:cs="Arial"/>
                <w:b/>
                <w:sz w:val="18"/>
                <w:szCs w:val="18"/>
              </w:rPr>
            </w:pPr>
            <w:r w:rsidRPr="0059477D">
              <w:rPr>
                <w:rFonts w:ascii="Arial" w:hAnsi="Arial" w:cs="Arial"/>
                <w:b/>
                <w:sz w:val="18"/>
                <w:szCs w:val="18"/>
              </w:rPr>
              <w:t>Logo</w:t>
            </w:r>
          </w:p>
        </w:tc>
        <w:tc>
          <w:tcPr>
            <w:tcW w:w="2552" w:type="dxa"/>
            <w:shd w:val="clear" w:color="auto" w:fill="auto"/>
          </w:tcPr>
          <w:p w14:paraId="4FCD01A7" w14:textId="77777777" w:rsidR="007473DD" w:rsidRPr="0059477D" w:rsidRDefault="007473DD" w:rsidP="00551CDA">
            <w:pPr>
              <w:spacing w:after="120"/>
              <w:jc w:val="both"/>
              <w:rPr>
                <w:rFonts w:ascii="Arial" w:hAnsi="Arial" w:cs="Arial"/>
                <w:b/>
                <w:sz w:val="18"/>
                <w:szCs w:val="18"/>
              </w:rPr>
            </w:pPr>
            <w:r w:rsidRPr="0059477D">
              <w:rPr>
                <w:rFonts w:ascii="Arial" w:hAnsi="Arial" w:cs="Arial"/>
                <w:b/>
                <w:sz w:val="18"/>
                <w:szCs w:val="18"/>
              </w:rPr>
              <w:t>Titre</w:t>
            </w:r>
          </w:p>
        </w:tc>
        <w:tc>
          <w:tcPr>
            <w:tcW w:w="4814" w:type="dxa"/>
            <w:shd w:val="clear" w:color="auto" w:fill="auto"/>
          </w:tcPr>
          <w:p w14:paraId="06C55138" w14:textId="77777777" w:rsidR="007473DD" w:rsidRPr="0059477D" w:rsidRDefault="007473DD" w:rsidP="00551CDA">
            <w:pPr>
              <w:spacing w:after="120"/>
              <w:jc w:val="both"/>
              <w:rPr>
                <w:rFonts w:ascii="Arial" w:hAnsi="Arial" w:cs="Arial"/>
                <w:b/>
                <w:sz w:val="18"/>
                <w:szCs w:val="18"/>
              </w:rPr>
            </w:pPr>
            <w:r w:rsidRPr="0059477D">
              <w:rPr>
                <w:rFonts w:ascii="Arial" w:hAnsi="Arial" w:cs="Arial"/>
                <w:b/>
                <w:sz w:val="18"/>
                <w:szCs w:val="18"/>
              </w:rPr>
              <w:t>Contenu</w:t>
            </w:r>
          </w:p>
        </w:tc>
      </w:tr>
      <w:tr w:rsidR="007473DD" w:rsidRPr="0059477D" w14:paraId="2C8EFA9F" w14:textId="77777777" w:rsidTr="00551CDA">
        <w:tc>
          <w:tcPr>
            <w:tcW w:w="1725" w:type="dxa"/>
            <w:shd w:val="clear" w:color="auto" w:fill="auto"/>
            <w:vAlign w:val="center"/>
          </w:tcPr>
          <w:p w14:paraId="7D6F9B2F" w14:textId="77777777" w:rsidR="007473DD" w:rsidRPr="0059477D" w:rsidRDefault="007473DD" w:rsidP="00551CDA">
            <w:pPr>
              <w:spacing w:after="120"/>
              <w:jc w:val="center"/>
              <w:rPr>
                <w:rFonts w:ascii="Arial" w:hAnsi="Arial" w:cs="Arial"/>
                <w:sz w:val="18"/>
                <w:szCs w:val="18"/>
              </w:rPr>
            </w:pPr>
            <w:r w:rsidRPr="0059477D">
              <w:rPr>
                <w:rFonts w:ascii="Arial" w:hAnsi="Arial" w:cs="Arial"/>
                <w:noProof/>
                <w:sz w:val="18"/>
                <w:szCs w:val="18"/>
              </w:rPr>
              <w:drawing>
                <wp:inline distT="0" distB="0" distL="0" distR="0" wp14:anchorId="3F215F8A" wp14:editId="7E5B0619">
                  <wp:extent cx="866775" cy="617220"/>
                  <wp:effectExtent l="0" t="0" r="9525"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6775" cy="617220"/>
                          </a:xfrm>
                          <a:prstGeom prst="rect">
                            <a:avLst/>
                          </a:prstGeom>
                          <a:noFill/>
                          <a:ln>
                            <a:noFill/>
                          </a:ln>
                        </pic:spPr>
                      </pic:pic>
                    </a:graphicData>
                  </a:graphic>
                </wp:inline>
              </w:drawing>
            </w:r>
          </w:p>
        </w:tc>
        <w:tc>
          <w:tcPr>
            <w:tcW w:w="2552" w:type="dxa"/>
            <w:shd w:val="clear" w:color="auto" w:fill="auto"/>
          </w:tcPr>
          <w:p w14:paraId="3DA16478" w14:textId="77777777" w:rsidR="007473DD" w:rsidRPr="0059477D" w:rsidRDefault="007473DD" w:rsidP="00551CDA">
            <w:pPr>
              <w:spacing w:after="120"/>
              <w:ind w:firstLine="0"/>
              <w:rPr>
                <w:rFonts w:ascii="Arial" w:hAnsi="Arial" w:cs="Arial"/>
                <w:sz w:val="18"/>
                <w:szCs w:val="18"/>
              </w:rPr>
            </w:pPr>
            <w:r w:rsidRPr="0059477D">
              <w:rPr>
                <w:rFonts w:ascii="Arial" w:hAnsi="Arial" w:cs="Arial"/>
                <w:sz w:val="18"/>
                <w:szCs w:val="18"/>
              </w:rPr>
              <w:t>Label rouge</w:t>
            </w:r>
          </w:p>
        </w:tc>
        <w:tc>
          <w:tcPr>
            <w:tcW w:w="4814" w:type="dxa"/>
            <w:shd w:val="clear" w:color="auto" w:fill="auto"/>
          </w:tcPr>
          <w:p w14:paraId="739815F3" w14:textId="77777777" w:rsidR="007473DD" w:rsidRPr="0059477D" w:rsidRDefault="007473DD" w:rsidP="00551CDA">
            <w:pPr>
              <w:spacing w:after="120"/>
              <w:jc w:val="both"/>
              <w:rPr>
                <w:rFonts w:ascii="Arial" w:hAnsi="Arial" w:cs="Arial"/>
                <w:sz w:val="18"/>
                <w:szCs w:val="18"/>
              </w:rPr>
            </w:pPr>
            <w:r w:rsidRPr="0059477D">
              <w:rPr>
                <w:rFonts w:ascii="Arial" w:hAnsi="Arial" w:cs="Arial"/>
                <w:sz w:val="18"/>
                <w:szCs w:val="18"/>
              </w:rPr>
              <w:t>Signe national qui atteste qu’un produit possède un ensemble de caractéristiques spécifiques établissement un niveau de qualité supérieur à celui d’un produit similaire</w:t>
            </w:r>
          </w:p>
        </w:tc>
      </w:tr>
      <w:tr w:rsidR="007473DD" w:rsidRPr="0059477D" w14:paraId="76D68192" w14:textId="77777777" w:rsidTr="00551CDA">
        <w:tc>
          <w:tcPr>
            <w:tcW w:w="1725" w:type="dxa"/>
            <w:shd w:val="clear" w:color="auto" w:fill="auto"/>
            <w:vAlign w:val="center"/>
          </w:tcPr>
          <w:p w14:paraId="04317C9C" w14:textId="77777777" w:rsidR="007473DD" w:rsidRPr="0059477D" w:rsidRDefault="007473DD" w:rsidP="00551CDA">
            <w:pPr>
              <w:spacing w:after="120"/>
              <w:jc w:val="center"/>
              <w:rPr>
                <w:rFonts w:ascii="Arial" w:hAnsi="Arial" w:cs="Arial"/>
                <w:sz w:val="18"/>
                <w:szCs w:val="18"/>
              </w:rPr>
            </w:pPr>
            <w:r w:rsidRPr="0059477D">
              <w:rPr>
                <w:rFonts w:ascii="Arial" w:hAnsi="Arial" w:cs="Arial"/>
                <w:noProof/>
                <w:sz w:val="18"/>
                <w:szCs w:val="18"/>
              </w:rPr>
              <w:drawing>
                <wp:inline distT="0" distB="0" distL="0" distR="0" wp14:anchorId="0505EC8A" wp14:editId="4F501C8F">
                  <wp:extent cx="937895" cy="772160"/>
                  <wp:effectExtent l="0" t="0" r="0" b="889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7895" cy="772160"/>
                          </a:xfrm>
                          <a:prstGeom prst="rect">
                            <a:avLst/>
                          </a:prstGeom>
                          <a:noFill/>
                          <a:ln>
                            <a:noFill/>
                          </a:ln>
                        </pic:spPr>
                      </pic:pic>
                    </a:graphicData>
                  </a:graphic>
                </wp:inline>
              </w:drawing>
            </w:r>
          </w:p>
        </w:tc>
        <w:tc>
          <w:tcPr>
            <w:tcW w:w="2552" w:type="dxa"/>
            <w:shd w:val="clear" w:color="auto" w:fill="auto"/>
          </w:tcPr>
          <w:p w14:paraId="79860DC9" w14:textId="77777777" w:rsidR="007473DD" w:rsidRPr="0059477D" w:rsidRDefault="007473DD" w:rsidP="00551CDA">
            <w:pPr>
              <w:spacing w:after="120"/>
              <w:ind w:firstLine="0"/>
              <w:rPr>
                <w:rFonts w:ascii="Arial" w:hAnsi="Arial" w:cs="Arial"/>
                <w:sz w:val="18"/>
                <w:szCs w:val="18"/>
              </w:rPr>
            </w:pPr>
            <w:r w:rsidRPr="0059477D">
              <w:rPr>
                <w:rFonts w:ascii="Arial" w:hAnsi="Arial" w:cs="Arial"/>
                <w:sz w:val="18"/>
                <w:szCs w:val="18"/>
              </w:rPr>
              <w:t>Appellation d’origine protégée (AOP)</w:t>
            </w:r>
          </w:p>
        </w:tc>
        <w:tc>
          <w:tcPr>
            <w:tcW w:w="4814" w:type="dxa"/>
            <w:shd w:val="clear" w:color="auto" w:fill="auto"/>
          </w:tcPr>
          <w:p w14:paraId="26CBE32A" w14:textId="77777777" w:rsidR="007473DD" w:rsidRPr="0059477D" w:rsidRDefault="007473DD" w:rsidP="00551CDA">
            <w:pPr>
              <w:spacing w:after="120"/>
              <w:jc w:val="both"/>
              <w:rPr>
                <w:rFonts w:ascii="Arial" w:hAnsi="Arial" w:cs="Arial"/>
                <w:sz w:val="18"/>
                <w:szCs w:val="18"/>
              </w:rPr>
            </w:pPr>
            <w:r w:rsidRPr="0059477D">
              <w:rPr>
                <w:rFonts w:ascii="Arial" w:hAnsi="Arial" w:cs="Arial"/>
                <w:sz w:val="18"/>
                <w:szCs w:val="18"/>
              </w:rPr>
              <w:t>Désigne un produit dont toutes les étapes de fabrication (production, transformation et élaboration) sont réalisées dans une même zone géographique. Ces facteurs naturels et humains spécifiques confèrent au produit ses caractéristiques. C’est un signe qui protège le nom produit dans toute l’Union européenne.</w:t>
            </w:r>
          </w:p>
        </w:tc>
      </w:tr>
      <w:tr w:rsidR="007473DD" w:rsidRPr="0059477D" w14:paraId="3B8DFD7C" w14:textId="77777777" w:rsidTr="00551CDA">
        <w:tc>
          <w:tcPr>
            <w:tcW w:w="1725" w:type="dxa"/>
            <w:shd w:val="clear" w:color="auto" w:fill="auto"/>
            <w:vAlign w:val="center"/>
          </w:tcPr>
          <w:p w14:paraId="1E35AA8A" w14:textId="77777777" w:rsidR="007473DD" w:rsidRPr="0059477D" w:rsidRDefault="007473DD" w:rsidP="00551CDA">
            <w:pPr>
              <w:spacing w:after="120"/>
              <w:jc w:val="center"/>
              <w:rPr>
                <w:rFonts w:ascii="Arial" w:hAnsi="Arial" w:cs="Arial"/>
                <w:sz w:val="18"/>
                <w:szCs w:val="18"/>
              </w:rPr>
            </w:pPr>
            <w:r w:rsidRPr="0059477D">
              <w:rPr>
                <w:rFonts w:ascii="Arial" w:hAnsi="Arial" w:cs="Arial"/>
                <w:noProof/>
                <w:sz w:val="18"/>
                <w:szCs w:val="18"/>
              </w:rPr>
              <w:drawing>
                <wp:inline distT="0" distB="0" distL="0" distR="0" wp14:anchorId="4F647D27" wp14:editId="5D222DE3">
                  <wp:extent cx="831215" cy="902335"/>
                  <wp:effectExtent l="0" t="0" r="6985"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1215" cy="902335"/>
                          </a:xfrm>
                          <a:prstGeom prst="rect">
                            <a:avLst/>
                          </a:prstGeom>
                          <a:noFill/>
                          <a:ln>
                            <a:noFill/>
                          </a:ln>
                        </pic:spPr>
                      </pic:pic>
                    </a:graphicData>
                  </a:graphic>
                </wp:inline>
              </w:drawing>
            </w:r>
          </w:p>
        </w:tc>
        <w:tc>
          <w:tcPr>
            <w:tcW w:w="2552" w:type="dxa"/>
            <w:shd w:val="clear" w:color="auto" w:fill="auto"/>
          </w:tcPr>
          <w:p w14:paraId="0BDC2436" w14:textId="77777777" w:rsidR="007473DD" w:rsidRPr="0059477D" w:rsidRDefault="007473DD" w:rsidP="00551CDA">
            <w:pPr>
              <w:spacing w:after="120"/>
              <w:ind w:firstLine="0"/>
              <w:rPr>
                <w:rFonts w:ascii="Arial" w:hAnsi="Arial" w:cs="Arial"/>
                <w:sz w:val="18"/>
                <w:szCs w:val="18"/>
              </w:rPr>
            </w:pPr>
            <w:r w:rsidRPr="0059477D">
              <w:rPr>
                <w:rFonts w:ascii="Arial" w:hAnsi="Arial" w:cs="Arial"/>
                <w:sz w:val="18"/>
                <w:szCs w:val="18"/>
              </w:rPr>
              <w:t>Appellation d’origine contrôlée (AOC)</w:t>
            </w:r>
          </w:p>
        </w:tc>
        <w:tc>
          <w:tcPr>
            <w:tcW w:w="4814" w:type="dxa"/>
            <w:shd w:val="clear" w:color="auto" w:fill="auto"/>
          </w:tcPr>
          <w:p w14:paraId="1765E850" w14:textId="77777777" w:rsidR="007473DD" w:rsidRPr="0059477D" w:rsidRDefault="007473DD" w:rsidP="00551CDA">
            <w:pPr>
              <w:spacing w:after="120"/>
              <w:jc w:val="both"/>
              <w:rPr>
                <w:rFonts w:ascii="Arial" w:hAnsi="Arial" w:cs="Arial"/>
                <w:sz w:val="18"/>
                <w:szCs w:val="18"/>
              </w:rPr>
            </w:pPr>
            <w:r w:rsidRPr="0059477D">
              <w:rPr>
                <w:rFonts w:ascii="Arial" w:hAnsi="Arial" w:cs="Arial"/>
                <w:sz w:val="18"/>
                <w:szCs w:val="18"/>
              </w:rPr>
              <w:t xml:space="preserve">Désigne des produits répondant aux critères de l’AOP. Elle constitue une étape vers l’AOP et permet une protection de la dénomination sur le territoire français, en attendant son enregistrement et sa protection au niveau européen. </w:t>
            </w:r>
          </w:p>
        </w:tc>
      </w:tr>
      <w:tr w:rsidR="007473DD" w:rsidRPr="0059477D" w14:paraId="59F343DD" w14:textId="77777777" w:rsidTr="00551CDA">
        <w:tc>
          <w:tcPr>
            <w:tcW w:w="1725" w:type="dxa"/>
            <w:shd w:val="clear" w:color="auto" w:fill="auto"/>
            <w:vAlign w:val="center"/>
          </w:tcPr>
          <w:p w14:paraId="51424F45" w14:textId="77777777" w:rsidR="007473DD" w:rsidRPr="0059477D" w:rsidRDefault="007473DD" w:rsidP="00551CDA">
            <w:pPr>
              <w:spacing w:after="120"/>
              <w:jc w:val="center"/>
              <w:rPr>
                <w:rFonts w:ascii="Arial" w:hAnsi="Arial" w:cs="Arial"/>
                <w:sz w:val="18"/>
                <w:szCs w:val="18"/>
              </w:rPr>
            </w:pPr>
            <w:r w:rsidRPr="0059477D">
              <w:rPr>
                <w:rFonts w:ascii="Arial" w:hAnsi="Arial" w:cs="Arial"/>
                <w:noProof/>
                <w:sz w:val="18"/>
                <w:szCs w:val="18"/>
              </w:rPr>
              <w:drawing>
                <wp:inline distT="0" distB="0" distL="0" distR="0" wp14:anchorId="03474CD0" wp14:editId="615A77E4">
                  <wp:extent cx="962025" cy="949960"/>
                  <wp:effectExtent l="0" t="0" r="9525" b="254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62025" cy="949960"/>
                          </a:xfrm>
                          <a:prstGeom prst="rect">
                            <a:avLst/>
                          </a:prstGeom>
                          <a:noFill/>
                          <a:ln>
                            <a:noFill/>
                          </a:ln>
                        </pic:spPr>
                      </pic:pic>
                    </a:graphicData>
                  </a:graphic>
                </wp:inline>
              </w:drawing>
            </w:r>
          </w:p>
        </w:tc>
        <w:tc>
          <w:tcPr>
            <w:tcW w:w="2552" w:type="dxa"/>
            <w:shd w:val="clear" w:color="auto" w:fill="auto"/>
          </w:tcPr>
          <w:p w14:paraId="77E7E002" w14:textId="77777777" w:rsidR="007473DD" w:rsidRPr="0059477D" w:rsidRDefault="007473DD" w:rsidP="00551CDA">
            <w:pPr>
              <w:spacing w:after="120"/>
              <w:ind w:firstLine="0"/>
              <w:rPr>
                <w:rFonts w:ascii="Arial" w:hAnsi="Arial" w:cs="Arial"/>
                <w:sz w:val="18"/>
                <w:szCs w:val="18"/>
              </w:rPr>
            </w:pPr>
            <w:r w:rsidRPr="0059477D">
              <w:rPr>
                <w:rFonts w:ascii="Arial" w:hAnsi="Arial" w:cs="Arial"/>
                <w:sz w:val="18"/>
                <w:szCs w:val="18"/>
              </w:rPr>
              <w:t>Indication géographique protégée (IGP)</w:t>
            </w:r>
          </w:p>
        </w:tc>
        <w:tc>
          <w:tcPr>
            <w:tcW w:w="4814" w:type="dxa"/>
            <w:shd w:val="clear" w:color="auto" w:fill="auto"/>
          </w:tcPr>
          <w:p w14:paraId="158993AE" w14:textId="77777777" w:rsidR="007473DD" w:rsidRPr="0059477D" w:rsidRDefault="007473DD" w:rsidP="00551CDA">
            <w:pPr>
              <w:spacing w:after="120"/>
              <w:jc w:val="both"/>
              <w:rPr>
                <w:rFonts w:ascii="Arial" w:hAnsi="Arial" w:cs="Arial"/>
                <w:sz w:val="18"/>
                <w:szCs w:val="18"/>
              </w:rPr>
            </w:pPr>
            <w:r w:rsidRPr="0059477D">
              <w:rPr>
                <w:rFonts w:ascii="Arial" w:hAnsi="Arial" w:cs="Arial"/>
                <w:sz w:val="18"/>
                <w:szCs w:val="18"/>
              </w:rPr>
              <w:t>Ce label désigne un produit dont au moins une étape de fabrication (production, transformation et élaboration) est réalisée dans une zone géographique définie. C’est un signe européen qui protège le nom du produit dans toute l’Union européenne.</w:t>
            </w:r>
          </w:p>
        </w:tc>
      </w:tr>
      <w:tr w:rsidR="007473DD" w:rsidRPr="0059477D" w14:paraId="1F37709C" w14:textId="77777777" w:rsidTr="00551CDA">
        <w:tc>
          <w:tcPr>
            <w:tcW w:w="1725" w:type="dxa"/>
            <w:shd w:val="clear" w:color="auto" w:fill="auto"/>
            <w:vAlign w:val="center"/>
          </w:tcPr>
          <w:p w14:paraId="647F6454" w14:textId="77777777" w:rsidR="007473DD" w:rsidRPr="0059477D" w:rsidRDefault="007473DD" w:rsidP="00551CDA">
            <w:pPr>
              <w:spacing w:after="120"/>
              <w:jc w:val="center"/>
              <w:rPr>
                <w:rFonts w:ascii="Arial" w:hAnsi="Arial" w:cs="Arial"/>
                <w:sz w:val="18"/>
                <w:szCs w:val="18"/>
              </w:rPr>
            </w:pPr>
            <w:r w:rsidRPr="0059477D">
              <w:rPr>
                <w:rFonts w:ascii="Arial" w:hAnsi="Arial" w:cs="Arial"/>
                <w:noProof/>
                <w:sz w:val="18"/>
                <w:szCs w:val="18"/>
              </w:rPr>
              <w:drawing>
                <wp:inline distT="0" distB="0" distL="0" distR="0" wp14:anchorId="66B645BD" wp14:editId="799E4151">
                  <wp:extent cx="866775" cy="974090"/>
                  <wp:effectExtent l="0" t="0" r="9525"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66775" cy="974090"/>
                          </a:xfrm>
                          <a:prstGeom prst="rect">
                            <a:avLst/>
                          </a:prstGeom>
                          <a:noFill/>
                          <a:ln>
                            <a:noFill/>
                          </a:ln>
                        </pic:spPr>
                      </pic:pic>
                    </a:graphicData>
                  </a:graphic>
                </wp:inline>
              </w:drawing>
            </w:r>
          </w:p>
        </w:tc>
        <w:tc>
          <w:tcPr>
            <w:tcW w:w="2552" w:type="dxa"/>
            <w:shd w:val="clear" w:color="auto" w:fill="auto"/>
          </w:tcPr>
          <w:p w14:paraId="0638CBB4" w14:textId="77777777" w:rsidR="007473DD" w:rsidRPr="0059477D" w:rsidRDefault="007473DD" w:rsidP="00551CDA">
            <w:pPr>
              <w:spacing w:after="120"/>
              <w:ind w:firstLine="0"/>
              <w:rPr>
                <w:rFonts w:ascii="Arial" w:hAnsi="Arial" w:cs="Arial"/>
                <w:sz w:val="18"/>
                <w:szCs w:val="18"/>
              </w:rPr>
            </w:pPr>
            <w:r w:rsidRPr="0059477D">
              <w:rPr>
                <w:rFonts w:ascii="Arial" w:hAnsi="Arial" w:cs="Arial"/>
                <w:sz w:val="18"/>
                <w:szCs w:val="18"/>
              </w:rPr>
              <w:t>Spécialité traditionnelle garantie (STG)</w:t>
            </w:r>
          </w:p>
        </w:tc>
        <w:tc>
          <w:tcPr>
            <w:tcW w:w="4814" w:type="dxa"/>
            <w:shd w:val="clear" w:color="auto" w:fill="auto"/>
          </w:tcPr>
          <w:p w14:paraId="4BEB5C0E" w14:textId="77777777" w:rsidR="007473DD" w:rsidRPr="0059477D" w:rsidRDefault="007473DD" w:rsidP="00551CDA">
            <w:pPr>
              <w:spacing w:after="120"/>
              <w:ind w:firstLine="0"/>
              <w:jc w:val="both"/>
              <w:rPr>
                <w:rFonts w:ascii="Arial" w:hAnsi="Arial" w:cs="Arial"/>
                <w:sz w:val="18"/>
                <w:szCs w:val="18"/>
              </w:rPr>
            </w:pPr>
            <w:r w:rsidRPr="0059477D">
              <w:rPr>
                <w:rFonts w:ascii="Arial" w:hAnsi="Arial" w:cs="Arial"/>
                <w:sz w:val="18"/>
                <w:szCs w:val="18"/>
              </w:rPr>
              <w:t>L’appellation STG désigne un produit dont les qualités spécifiques sont liées à une composition, des méthodes de fabrication ou de transformation liées à une tradition.</w:t>
            </w:r>
          </w:p>
        </w:tc>
      </w:tr>
      <w:tr w:rsidR="007473DD" w:rsidRPr="0059477D" w14:paraId="0C20B446" w14:textId="77777777" w:rsidTr="00551CDA">
        <w:tc>
          <w:tcPr>
            <w:tcW w:w="1725" w:type="dxa"/>
            <w:shd w:val="clear" w:color="auto" w:fill="auto"/>
            <w:vAlign w:val="center"/>
          </w:tcPr>
          <w:p w14:paraId="2CE7DD40" w14:textId="77777777" w:rsidR="007473DD" w:rsidRPr="0059477D" w:rsidRDefault="007473DD" w:rsidP="00551CDA">
            <w:pPr>
              <w:spacing w:after="120"/>
              <w:jc w:val="center"/>
              <w:rPr>
                <w:rFonts w:ascii="Arial" w:hAnsi="Arial" w:cs="Arial"/>
                <w:sz w:val="18"/>
                <w:szCs w:val="18"/>
              </w:rPr>
            </w:pPr>
            <w:r w:rsidRPr="0059477D">
              <w:rPr>
                <w:rFonts w:ascii="Arial" w:hAnsi="Arial" w:cs="Arial"/>
                <w:noProof/>
                <w:sz w:val="18"/>
                <w:szCs w:val="18"/>
              </w:rPr>
              <w:drawing>
                <wp:inline distT="0" distB="0" distL="0" distR="0" wp14:anchorId="473CC293" wp14:editId="01016EE0">
                  <wp:extent cx="962025" cy="807720"/>
                  <wp:effectExtent l="0" t="0" r="952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62025" cy="807720"/>
                          </a:xfrm>
                          <a:prstGeom prst="rect">
                            <a:avLst/>
                          </a:prstGeom>
                          <a:noFill/>
                          <a:ln>
                            <a:noFill/>
                          </a:ln>
                        </pic:spPr>
                      </pic:pic>
                    </a:graphicData>
                  </a:graphic>
                </wp:inline>
              </w:drawing>
            </w:r>
          </w:p>
        </w:tc>
        <w:tc>
          <w:tcPr>
            <w:tcW w:w="2552" w:type="dxa"/>
            <w:shd w:val="clear" w:color="auto" w:fill="auto"/>
          </w:tcPr>
          <w:p w14:paraId="561FAC27" w14:textId="77777777" w:rsidR="007473DD" w:rsidRPr="0059477D" w:rsidRDefault="007473DD" w:rsidP="00551CDA">
            <w:pPr>
              <w:spacing w:after="120"/>
              <w:ind w:firstLine="0"/>
              <w:rPr>
                <w:rFonts w:ascii="Arial" w:hAnsi="Arial" w:cs="Arial"/>
                <w:sz w:val="18"/>
                <w:szCs w:val="18"/>
              </w:rPr>
            </w:pPr>
            <w:r w:rsidRPr="0059477D">
              <w:rPr>
                <w:rFonts w:ascii="Arial" w:hAnsi="Arial" w:cs="Arial"/>
                <w:sz w:val="18"/>
                <w:szCs w:val="18"/>
              </w:rPr>
              <w:t>Issu d’une exploitation à haute valeur environnementale</w:t>
            </w:r>
          </w:p>
        </w:tc>
        <w:tc>
          <w:tcPr>
            <w:tcW w:w="4814" w:type="dxa"/>
            <w:shd w:val="clear" w:color="auto" w:fill="auto"/>
          </w:tcPr>
          <w:p w14:paraId="181C2E16" w14:textId="77777777" w:rsidR="007473DD" w:rsidRPr="0059477D" w:rsidRDefault="007473DD" w:rsidP="00551CDA">
            <w:pPr>
              <w:spacing w:after="120"/>
              <w:ind w:firstLine="0"/>
              <w:jc w:val="both"/>
              <w:rPr>
                <w:rFonts w:ascii="Arial" w:hAnsi="Arial" w:cs="Arial"/>
                <w:sz w:val="18"/>
                <w:szCs w:val="18"/>
              </w:rPr>
            </w:pPr>
            <w:r w:rsidRPr="0059477D">
              <w:rPr>
                <w:rFonts w:ascii="Arial" w:hAnsi="Arial" w:cs="Arial"/>
                <w:sz w:val="18"/>
                <w:szCs w:val="18"/>
              </w:rPr>
              <w:t>Ce logo signale un produit agricole issu d’une exploitation à haute valeur environnementale (HVE). Appellation valable jusqu’au 31/12/2026.</w:t>
            </w:r>
          </w:p>
        </w:tc>
      </w:tr>
      <w:tr w:rsidR="007473DD" w:rsidRPr="0059477D" w14:paraId="70FE47C3" w14:textId="77777777" w:rsidTr="00551CDA">
        <w:tc>
          <w:tcPr>
            <w:tcW w:w="1725" w:type="dxa"/>
            <w:shd w:val="clear" w:color="auto" w:fill="auto"/>
            <w:vAlign w:val="center"/>
          </w:tcPr>
          <w:p w14:paraId="5DB09055" w14:textId="77777777" w:rsidR="007473DD" w:rsidRPr="0059477D" w:rsidRDefault="007473DD" w:rsidP="00551CDA">
            <w:pPr>
              <w:spacing w:after="120"/>
              <w:jc w:val="center"/>
              <w:rPr>
                <w:rFonts w:ascii="Arial" w:hAnsi="Arial" w:cs="Arial"/>
                <w:sz w:val="18"/>
                <w:szCs w:val="18"/>
              </w:rPr>
            </w:pPr>
            <w:r w:rsidRPr="0059477D">
              <w:rPr>
                <w:rFonts w:ascii="Arial" w:hAnsi="Arial" w:cs="Arial"/>
                <w:noProof/>
                <w:sz w:val="18"/>
                <w:szCs w:val="18"/>
              </w:rPr>
              <w:drawing>
                <wp:inline distT="0" distB="0" distL="0" distR="0" wp14:anchorId="2F074950" wp14:editId="459455E9">
                  <wp:extent cx="890905" cy="902335"/>
                  <wp:effectExtent l="0" t="0" r="444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0905" cy="902335"/>
                          </a:xfrm>
                          <a:prstGeom prst="rect">
                            <a:avLst/>
                          </a:prstGeom>
                          <a:noFill/>
                          <a:ln>
                            <a:noFill/>
                          </a:ln>
                        </pic:spPr>
                      </pic:pic>
                    </a:graphicData>
                  </a:graphic>
                </wp:inline>
              </w:drawing>
            </w:r>
          </w:p>
        </w:tc>
        <w:tc>
          <w:tcPr>
            <w:tcW w:w="2552" w:type="dxa"/>
            <w:shd w:val="clear" w:color="auto" w:fill="auto"/>
          </w:tcPr>
          <w:p w14:paraId="599E01D7" w14:textId="77777777" w:rsidR="007473DD" w:rsidRPr="0059477D" w:rsidRDefault="007473DD" w:rsidP="00551CDA">
            <w:pPr>
              <w:spacing w:after="120"/>
              <w:ind w:firstLine="0"/>
              <w:rPr>
                <w:rFonts w:ascii="Arial" w:hAnsi="Arial" w:cs="Arial"/>
                <w:sz w:val="18"/>
                <w:szCs w:val="18"/>
              </w:rPr>
            </w:pPr>
            <w:r w:rsidRPr="0059477D">
              <w:rPr>
                <w:rFonts w:ascii="Arial" w:hAnsi="Arial" w:cs="Arial"/>
                <w:sz w:val="18"/>
                <w:szCs w:val="18"/>
              </w:rPr>
              <w:t>Ecolabel « pêche durable »</w:t>
            </w:r>
          </w:p>
        </w:tc>
        <w:tc>
          <w:tcPr>
            <w:tcW w:w="4814" w:type="dxa"/>
            <w:shd w:val="clear" w:color="auto" w:fill="auto"/>
          </w:tcPr>
          <w:p w14:paraId="1DB983B4" w14:textId="77777777" w:rsidR="007473DD" w:rsidRPr="0059477D" w:rsidRDefault="007473DD" w:rsidP="00551CDA">
            <w:pPr>
              <w:spacing w:after="120"/>
              <w:ind w:firstLine="0"/>
              <w:jc w:val="both"/>
              <w:rPr>
                <w:rFonts w:ascii="Arial" w:hAnsi="Arial" w:cs="Arial"/>
                <w:sz w:val="18"/>
                <w:szCs w:val="18"/>
              </w:rPr>
            </w:pPr>
            <w:r w:rsidRPr="0059477D">
              <w:rPr>
                <w:rFonts w:ascii="Arial" w:hAnsi="Arial" w:cs="Arial"/>
                <w:sz w:val="18"/>
                <w:szCs w:val="18"/>
              </w:rPr>
              <w:t>Ce logo certifie aux consommateurs que ces produits de pêche répondent à des exigences environnementales, économiques et sociales.</w:t>
            </w:r>
          </w:p>
        </w:tc>
      </w:tr>
      <w:tr w:rsidR="007473DD" w:rsidRPr="0059477D" w14:paraId="1D309BE9" w14:textId="77777777" w:rsidTr="00551CDA">
        <w:tc>
          <w:tcPr>
            <w:tcW w:w="1725" w:type="dxa"/>
            <w:shd w:val="clear" w:color="auto" w:fill="auto"/>
            <w:vAlign w:val="center"/>
          </w:tcPr>
          <w:p w14:paraId="6613E698" w14:textId="77777777" w:rsidR="007473DD" w:rsidRPr="0059477D" w:rsidRDefault="007473DD" w:rsidP="00551CDA">
            <w:pPr>
              <w:spacing w:after="120"/>
              <w:jc w:val="center"/>
              <w:rPr>
                <w:rFonts w:ascii="Arial" w:hAnsi="Arial" w:cs="Arial"/>
                <w:sz w:val="18"/>
                <w:szCs w:val="18"/>
              </w:rPr>
            </w:pPr>
            <w:r w:rsidRPr="0059477D">
              <w:rPr>
                <w:rFonts w:ascii="Arial" w:hAnsi="Arial" w:cs="Arial"/>
                <w:noProof/>
                <w:sz w:val="18"/>
                <w:szCs w:val="18"/>
              </w:rPr>
              <w:drawing>
                <wp:inline distT="0" distB="0" distL="0" distR="0" wp14:anchorId="66B0946F" wp14:editId="1F3B651B">
                  <wp:extent cx="748030" cy="795655"/>
                  <wp:effectExtent l="0" t="0" r="0" b="444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48030" cy="795655"/>
                          </a:xfrm>
                          <a:prstGeom prst="rect">
                            <a:avLst/>
                          </a:prstGeom>
                          <a:noFill/>
                          <a:ln>
                            <a:noFill/>
                          </a:ln>
                        </pic:spPr>
                      </pic:pic>
                    </a:graphicData>
                  </a:graphic>
                </wp:inline>
              </w:drawing>
            </w:r>
          </w:p>
        </w:tc>
        <w:tc>
          <w:tcPr>
            <w:tcW w:w="2552" w:type="dxa"/>
            <w:shd w:val="clear" w:color="auto" w:fill="auto"/>
          </w:tcPr>
          <w:p w14:paraId="24823EA5" w14:textId="77777777" w:rsidR="007473DD" w:rsidRPr="0059477D" w:rsidRDefault="007473DD" w:rsidP="00551CDA">
            <w:pPr>
              <w:spacing w:after="120"/>
              <w:ind w:firstLine="0"/>
              <w:rPr>
                <w:rFonts w:ascii="Arial" w:hAnsi="Arial" w:cs="Arial"/>
                <w:sz w:val="18"/>
                <w:szCs w:val="18"/>
              </w:rPr>
            </w:pPr>
            <w:r w:rsidRPr="0059477D">
              <w:rPr>
                <w:rFonts w:ascii="Arial" w:hAnsi="Arial" w:cs="Arial"/>
                <w:sz w:val="18"/>
                <w:szCs w:val="18"/>
              </w:rPr>
              <w:t>Région ultrapériphérique</w:t>
            </w:r>
          </w:p>
        </w:tc>
        <w:tc>
          <w:tcPr>
            <w:tcW w:w="4814" w:type="dxa"/>
            <w:shd w:val="clear" w:color="auto" w:fill="auto"/>
          </w:tcPr>
          <w:p w14:paraId="33AA0939" w14:textId="77777777" w:rsidR="007473DD" w:rsidRPr="0059477D" w:rsidRDefault="007473DD" w:rsidP="00551CDA">
            <w:pPr>
              <w:spacing w:after="120"/>
              <w:ind w:firstLine="0"/>
              <w:jc w:val="both"/>
              <w:rPr>
                <w:rFonts w:ascii="Arial" w:hAnsi="Arial" w:cs="Arial"/>
                <w:sz w:val="18"/>
                <w:szCs w:val="18"/>
              </w:rPr>
            </w:pPr>
            <w:r w:rsidRPr="0059477D">
              <w:rPr>
                <w:rFonts w:ascii="Arial" w:hAnsi="Arial" w:cs="Arial"/>
                <w:sz w:val="18"/>
                <w:szCs w:val="18"/>
              </w:rPr>
              <w:t>Produits issus de 9 régions ultra périphériques de l’Union européenne : Azores, Canaries, Guadeloupe, Guyane, Madère, Martinique, La Réunion et Saint-Martin.</w:t>
            </w:r>
          </w:p>
        </w:tc>
      </w:tr>
      <w:tr w:rsidR="007473DD" w:rsidRPr="0059477D" w14:paraId="6A6FD0B5" w14:textId="77777777" w:rsidTr="00551CDA">
        <w:tc>
          <w:tcPr>
            <w:tcW w:w="1725" w:type="dxa"/>
            <w:shd w:val="clear" w:color="auto" w:fill="auto"/>
            <w:vAlign w:val="center"/>
          </w:tcPr>
          <w:p w14:paraId="6CDA0911" w14:textId="77777777" w:rsidR="007473DD" w:rsidRPr="0059477D" w:rsidRDefault="007473DD" w:rsidP="00551CDA">
            <w:pPr>
              <w:spacing w:after="120"/>
              <w:jc w:val="center"/>
              <w:rPr>
                <w:rFonts w:ascii="Arial" w:hAnsi="Arial" w:cs="Arial"/>
                <w:sz w:val="18"/>
                <w:szCs w:val="18"/>
              </w:rPr>
            </w:pPr>
            <w:bookmarkStart w:id="1" w:name="_GoBack"/>
            <w:bookmarkEnd w:id="1"/>
          </w:p>
        </w:tc>
        <w:tc>
          <w:tcPr>
            <w:tcW w:w="2552" w:type="dxa"/>
            <w:shd w:val="clear" w:color="auto" w:fill="auto"/>
          </w:tcPr>
          <w:p w14:paraId="039ABFB3" w14:textId="77777777" w:rsidR="007473DD" w:rsidRPr="0059477D" w:rsidRDefault="007473DD" w:rsidP="00551CDA">
            <w:pPr>
              <w:spacing w:after="120"/>
              <w:ind w:left="708" w:hanging="708"/>
              <w:rPr>
                <w:rFonts w:ascii="Arial" w:hAnsi="Arial" w:cs="Arial"/>
                <w:sz w:val="18"/>
                <w:szCs w:val="18"/>
              </w:rPr>
            </w:pPr>
            <w:r w:rsidRPr="0059477D">
              <w:rPr>
                <w:rFonts w:ascii="Arial" w:hAnsi="Arial" w:cs="Arial"/>
                <w:sz w:val="18"/>
                <w:szCs w:val="18"/>
              </w:rPr>
              <w:t>Commerce équitable</w:t>
            </w:r>
          </w:p>
        </w:tc>
        <w:tc>
          <w:tcPr>
            <w:tcW w:w="4814" w:type="dxa"/>
            <w:shd w:val="clear" w:color="auto" w:fill="auto"/>
          </w:tcPr>
          <w:p w14:paraId="62B8E681" w14:textId="77777777" w:rsidR="007473DD" w:rsidRPr="0059477D" w:rsidRDefault="007473DD" w:rsidP="00551CDA">
            <w:pPr>
              <w:spacing w:after="120"/>
              <w:ind w:firstLine="0"/>
              <w:jc w:val="both"/>
              <w:rPr>
                <w:rFonts w:ascii="Arial" w:hAnsi="Arial" w:cs="Arial"/>
                <w:sz w:val="18"/>
                <w:szCs w:val="18"/>
              </w:rPr>
            </w:pPr>
            <w:r w:rsidRPr="0059477D">
              <w:rPr>
                <w:rFonts w:ascii="Arial" w:hAnsi="Arial" w:cs="Arial"/>
                <w:sz w:val="18"/>
                <w:szCs w:val="18"/>
              </w:rPr>
              <w:t xml:space="preserve">Le commerce équitable repose sur une organisation des échanges visant à équilibrer le rapport producteur/consommateur entre les pays développés et les pays en développement. Il s’appuie sur : un partenariat commercial sur la durée, le renforcement des compétences organisationnelles et techniques des </w:t>
            </w:r>
            <w:r w:rsidRPr="0059477D">
              <w:rPr>
                <w:rFonts w:ascii="Arial" w:hAnsi="Arial" w:cs="Arial"/>
                <w:sz w:val="18"/>
                <w:szCs w:val="18"/>
              </w:rPr>
              <w:lastRenderedPageBreak/>
              <w:t>organisations de producteurs, le respect des conventions de l’Organisation internationale du Travail, la protection de la biodiversité.</w:t>
            </w:r>
          </w:p>
        </w:tc>
      </w:tr>
      <w:tr w:rsidR="007473DD" w:rsidRPr="0059477D" w14:paraId="34BA692C" w14:textId="77777777" w:rsidTr="00551CDA">
        <w:tc>
          <w:tcPr>
            <w:tcW w:w="1725" w:type="dxa"/>
            <w:shd w:val="clear" w:color="auto" w:fill="auto"/>
            <w:vAlign w:val="center"/>
          </w:tcPr>
          <w:p w14:paraId="5EA69488" w14:textId="77777777" w:rsidR="007473DD" w:rsidRPr="0059477D" w:rsidRDefault="007473DD" w:rsidP="00551CDA">
            <w:pPr>
              <w:spacing w:after="120"/>
              <w:jc w:val="center"/>
              <w:rPr>
                <w:rFonts w:ascii="Arial" w:hAnsi="Arial" w:cs="Arial"/>
                <w:sz w:val="18"/>
                <w:szCs w:val="18"/>
              </w:rPr>
            </w:pPr>
            <w:r w:rsidRPr="0059477D">
              <w:rPr>
                <w:rFonts w:ascii="Arial" w:hAnsi="Arial" w:cs="Arial"/>
                <w:noProof/>
                <w:sz w:val="18"/>
                <w:szCs w:val="18"/>
              </w:rPr>
              <w:lastRenderedPageBreak/>
              <w:drawing>
                <wp:inline distT="0" distB="0" distL="0" distR="0" wp14:anchorId="44A27D2C" wp14:editId="28A8DBF3">
                  <wp:extent cx="688975" cy="772160"/>
                  <wp:effectExtent l="0" t="0" r="0" b="889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88975" cy="772160"/>
                          </a:xfrm>
                          <a:prstGeom prst="rect">
                            <a:avLst/>
                          </a:prstGeom>
                          <a:noFill/>
                          <a:ln>
                            <a:noFill/>
                          </a:ln>
                        </pic:spPr>
                      </pic:pic>
                    </a:graphicData>
                  </a:graphic>
                </wp:inline>
              </w:drawing>
            </w:r>
          </w:p>
        </w:tc>
        <w:tc>
          <w:tcPr>
            <w:tcW w:w="2552" w:type="dxa"/>
            <w:shd w:val="clear" w:color="auto" w:fill="auto"/>
          </w:tcPr>
          <w:p w14:paraId="379D0B03" w14:textId="77777777" w:rsidR="007473DD" w:rsidRPr="0059477D" w:rsidRDefault="007473DD" w:rsidP="00551CDA">
            <w:pPr>
              <w:spacing w:after="120"/>
              <w:ind w:firstLine="0"/>
              <w:jc w:val="both"/>
              <w:rPr>
                <w:rFonts w:ascii="Arial" w:hAnsi="Arial" w:cs="Arial"/>
                <w:sz w:val="18"/>
                <w:szCs w:val="18"/>
              </w:rPr>
            </w:pPr>
            <w:r w:rsidRPr="0059477D">
              <w:rPr>
                <w:rFonts w:ascii="Arial" w:hAnsi="Arial" w:cs="Arial"/>
                <w:sz w:val="18"/>
                <w:szCs w:val="18"/>
              </w:rPr>
              <w:t>Agriculture biologique</w:t>
            </w:r>
          </w:p>
        </w:tc>
        <w:tc>
          <w:tcPr>
            <w:tcW w:w="4814" w:type="dxa"/>
            <w:shd w:val="clear" w:color="auto" w:fill="auto"/>
          </w:tcPr>
          <w:p w14:paraId="1EBC3142" w14:textId="77777777" w:rsidR="007473DD" w:rsidRPr="0059477D" w:rsidRDefault="007473DD" w:rsidP="00551CDA">
            <w:pPr>
              <w:spacing w:after="120"/>
              <w:ind w:firstLine="0"/>
              <w:jc w:val="both"/>
              <w:rPr>
                <w:rFonts w:ascii="Arial" w:hAnsi="Arial" w:cs="Arial"/>
                <w:sz w:val="18"/>
                <w:szCs w:val="18"/>
              </w:rPr>
            </w:pPr>
            <w:r w:rsidRPr="0059477D">
              <w:rPr>
                <w:rFonts w:ascii="Arial" w:hAnsi="Arial" w:cs="Arial"/>
                <w:sz w:val="18"/>
                <w:szCs w:val="18"/>
              </w:rPr>
              <w:t>Désigne des produits agricoles issus de l’agriculture biologique</w:t>
            </w:r>
          </w:p>
        </w:tc>
      </w:tr>
      <w:tr w:rsidR="007473DD" w:rsidRPr="0059477D" w14:paraId="74FFFDA5" w14:textId="77777777" w:rsidTr="00551CDA">
        <w:tc>
          <w:tcPr>
            <w:tcW w:w="1725" w:type="dxa"/>
            <w:shd w:val="clear" w:color="auto" w:fill="auto"/>
            <w:vAlign w:val="center"/>
          </w:tcPr>
          <w:p w14:paraId="6E619FAA" w14:textId="77777777" w:rsidR="007473DD" w:rsidRPr="0059477D" w:rsidRDefault="007473DD" w:rsidP="00551CDA">
            <w:pPr>
              <w:spacing w:after="120"/>
              <w:jc w:val="center"/>
              <w:rPr>
                <w:rFonts w:ascii="Arial" w:hAnsi="Arial" w:cs="Arial"/>
                <w:sz w:val="18"/>
                <w:szCs w:val="18"/>
              </w:rPr>
            </w:pPr>
            <w:r w:rsidRPr="0059477D">
              <w:rPr>
                <w:rFonts w:ascii="Arial" w:hAnsi="Arial" w:cs="Arial"/>
                <w:noProof/>
                <w:sz w:val="18"/>
                <w:szCs w:val="18"/>
              </w:rPr>
              <w:drawing>
                <wp:inline distT="0" distB="0" distL="0" distR="0" wp14:anchorId="710AC062" wp14:editId="448357E7">
                  <wp:extent cx="890905" cy="617220"/>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90905" cy="617220"/>
                          </a:xfrm>
                          <a:prstGeom prst="rect">
                            <a:avLst/>
                          </a:prstGeom>
                          <a:noFill/>
                          <a:ln>
                            <a:noFill/>
                          </a:ln>
                        </pic:spPr>
                      </pic:pic>
                    </a:graphicData>
                  </a:graphic>
                </wp:inline>
              </w:drawing>
            </w:r>
          </w:p>
        </w:tc>
        <w:tc>
          <w:tcPr>
            <w:tcW w:w="2552" w:type="dxa"/>
            <w:shd w:val="clear" w:color="auto" w:fill="auto"/>
          </w:tcPr>
          <w:p w14:paraId="32371F11" w14:textId="77777777" w:rsidR="007473DD" w:rsidRPr="0059477D" w:rsidRDefault="007473DD" w:rsidP="00551CDA">
            <w:pPr>
              <w:spacing w:after="120"/>
              <w:ind w:left="708" w:hanging="708"/>
              <w:jc w:val="both"/>
              <w:rPr>
                <w:rFonts w:ascii="Arial" w:hAnsi="Arial" w:cs="Arial"/>
                <w:sz w:val="18"/>
                <w:szCs w:val="18"/>
              </w:rPr>
            </w:pPr>
            <w:r w:rsidRPr="0059477D">
              <w:rPr>
                <w:rFonts w:ascii="Arial" w:hAnsi="Arial" w:cs="Arial"/>
                <w:sz w:val="18"/>
                <w:szCs w:val="18"/>
              </w:rPr>
              <w:t>En conversion</w:t>
            </w:r>
          </w:p>
        </w:tc>
        <w:tc>
          <w:tcPr>
            <w:tcW w:w="4814" w:type="dxa"/>
            <w:shd w:val="clear" w:color="auto" w:fill="auto"/>
          </w:tcPr>
          <w:p w14:paraId="07AF8EA5" w14:textId="77777777" w:rsidR="007473DD" w:rsidRPr="0059477D" w:rsidRDefault="007473DD" w:rsidP="00551CDA">
            <w:pPr>
              <w:spacing w:after="120"/>
              <w:ind w:firstLine="0"/>
              <w:jc w:val="both"/>
              <w:rPr>
                <w:rFonts w:ascii="Arial" w:hAnsi="Arial" w:cs="Arial"/>
                <w:sz w:val="18"/>
                <w:szCs w:val="18"/>
              </w:rPr>
            </w:pPr>
            <w:r w:rsidRPr="0059477D">
              <w:rPr>
                <w:rFonts w:ascii="Arial" w:hAnsi="Arial" w:cs="Arial"/>
                <w:sz w:val="18"/>
                <w:szCs w:val="18"/>
              </w:rPr>
              <w:t>Désigne des produits végétaux issus de techniques agricoles en conversion</w:t>
            </w:r>
          </w:p>
        </w:tc>
      </w:tr>
    </w:tbl>
    <w:p w14:paraId="1BB29B81" w14:textId="77777777" w:rsidR="007473DD" w:rsidRPr="006A62FF" w:rsidRDefault="007473DD" w:rsidP="007473DD">
      <w:pPr>
        <w:spacing w:after="120"/>
        <w:jc w:val="both"/>
        <w:rPr>
          <w:rFonts w:ascii="Arial" w:hAnsi="Arial" w:cs="Arial"/>
          <w:sz w:val="18"/>
          <w:szCs w:val="18"/>
        </w:rPr>
      </w:pPr>
    </w:p>
    <w:p w14:paraId="2E046161" w14:textId="77777777" w:rsidR="007473DD" w:rsidRPr="008B3C4E" w:rsidRDefault="007473DD" w:rsidP="007473DD">
      <w:pPr>
        <w:spacing w:after="120"/>
        <w:jc w:val="both"/>
        <w:rPr>
          <w:rFonts w:ascii="Arial" w:hAnsi="Arial" w:cs="Arial"/>
          <w:sz w:val="22"/>
          <w:szCs w:val="22"/>
        </w:rPr>
      </w:pPr>
      <w:r w:rsidRPr="008B3C4E">
        <w:rPr>
          <w:rFonts w:ascii="Arial" w:hAnsi="Arial" w:cs="Arial"/>
          <w:sz w:val="22"/>
          <w:szCs w:val="22"/>
        </w:rPr>
        <w:t>Pour répondre à la désignation de produit de qualité et durable, les produits peuvent également comporter les mentions suivantes :</w:t>
      </w:r>
    </w:p>
    <w:p w14:paraId="7918A4F2" w14:textId="77777777" w:rsidR="007473DD" w:rsidRPr="008B3C4E" w:rsidRDefault="007473DD" w:rsidP="007473DD">
      <w:pPr>
        <w:pStyle w:val="Paragraphedeliste"/>
        <w:numPr>
          <w:ilvl w:val="0"/>
          <w:numId w:val="1"/>
        </w:numPr>
        <w:spacing w:before="0" w:after="120" w:line="259" w:lineRule="auto"/>
        <w:jc w:val="both"/>
        <w:rPr>
          <w:rFonts w:ascii="Arial" w:hAnsi="Arial" w:cs="Arial"/>
          <w:sz w:val="22"/>
          <w:szCs w:val="22"/>
        </w:rPr>
      </w:pPr>
      <w:proofErr w:type="gramStart"/>
      <w:r w:rsidRPr="008B3C4E">
        <w:rPr>
          <w:rFonts w:ascii="Arial" w:hAnsi="Arial" w:cs="Arial"/>
          <w:sz w:val="22"/>
          <w:szCs w:val="22"/>
        </w:rPr>
        <w:t>mention</w:t>
      </w:r>
      <w:proofErr w:type="gramEnd"/>
      <w:r w:rsidRPr="008B3C4E">
        <w:rPr>
          <w:rFonts w:ascii="Arial" w:hAnsi="Arial" w:cs="Arial"/>
          <w:sz w:val="22"/>
          <w:szCs w:val="22"/>
        </w:rPr>
        <w:t xml:space="preserve"> « fermier » ou « produit de/à la ferme » ;</w:t>
      </w:r>
    </w:p>
    <w:p w14:paraId="417CC888" w14:textId="77777777" w:rsidR="007473DD" w:rsidRPr="008B3C4E" w:rsidRDefault="007473DD" w:rsidP="007473DD">
      <w:pPr>
        <w:pStyle w:val="Paragraphedeliste"/>
        <w:numPr>
          <w:ilvl w:val="0"/>
          <w:numId w:val="1"/>
        </w:numPr>
        <w:spacing w:before="0" w:after="120" w:line="259" w:lineRule="auto"/>
        <w:jc w:val="both"/>
        <w:rPr>
          <w:rFonts w:ascii="Arial" w:hAnsi="Arial" w:cs="Arial"/>
          <w:sz w:val="22"/>
          <w:szCs w:val="22"/>
        </w:rPr>
      </w:pPr>
      <w:proofErr w:type="gramStart"/>
      <w:r w:rsidRPr="008B3C4E">
        <w:rPr>
          <w:rFonts w:ascii="Arial" w:hAnsi="Arial" w:cs="Arial"/>
          <w:sz w:val="22"/>
          <w:szCs w:val="22"/>
        </w:rPr>
        <w:t>produits</w:t>
      </w:r>
      <w:proofErr w:type="gramEnd"/>
      <w:r w:rsidRPr="008B3C4E">
        <w:rPr>
          <w:rFonts w:ascii="Arial" w:hAnsi="Arial" w:cs="Arial"/>
          <w:sz w:val="22"/>
          <w:szCs w:val="22"/>
        </w:rPr>
        <w:t xml:space="preserve"> acquis en tenant compte des coûts imputés aux externalités environnementales liées au produit pendant son cycle de vie, en application de l’article L 2152-10 du Code de la commande publique ;</w:t>
      </w:r>
    </w:p>
    <w:p w14:paraId="6B25E38B" w14:textId="77777777" w:rsidR="007473DD" w:rsidRPr="008B3C4E" w:rsidRDefault="007473DD" w:rsidP="007473DD">
      <w:pPr>
        <w:pStyle w:val="Paragraphedeliste"/>
        <w:numPr>
          <w:ilvl w:val="0"/>
          <w:numId w:val="1"/>
        </w:numPr>
        <w:spacing w:before="0" w:after="120" w:line="259" w:lineRule="auto"/>
        <w:jc w:val="both"/>
        <w:rPr>
          <w:rFonts w:ascii="Arial" w:hAnsi="Arial" w:cs="Arial"/>
          <w:sz w:val="22"/>
          <w:szCs w:val="22"/>
        </w:rPr>
      </w:pPr>
      <w:proofErr w:type="gramStart"/>
      <w:r w:rsidRPr="008B3C4E">
        <w:rPr>
          <w:rFonts w:ascii="Arial" w:hAnsi="Arial" w:cs="Arial"/>
          <w:sz w:val="22"/>
          <w:szCs w:val="22"/>
        </w:rPr>
        <w:t>produits</w:t>
      </w:r>
      <w:proofErr w:type="gramEnd"/>
      <w:r w:rsidRPr="008B3C4E">
        <w:rPr>
          <w:rFonts w:ascii="Arial" w:hAnsi="Arial" w:cs="Arial"/>
          <w:sz w:val="22"/>
          <w:szCs w:val="22"/>
        </w:rPr>
        <w:t xml:space="preserve"> acquis principalement sur la base de leurs performances en matière environnementale et d’approvisionnements directs ;</w:t>
      </w:r>
    </w:p>
    <w:p w14:paraId="2797390B" w14:textId="77777777" w:rsidR="007473DD" w:rsidRPr="008B3C4E" w:rsidRDefault="007473DD" w:rsidP="007473DD">
      <w:pPr>
        <w:pStyle w:val="Paragraphedeliste"/>
        <w:numPr>
          <w:ilvl w:val="0"/>
          <w:numId w:val="1"/>
        </w:numPr>
        <w:spacing w:before="0" w:after="120" w:line="259" w:lineRule="auto"/>
        <w:jc w:val="both"/>
        <w:rPr>
          <w:rFonts w:ascii="Arial" w:hAnsi="Arial" w:cs="Arial"/>
          <w:sz w:val="22"/>
          <w:szCs w:val="22"/>
        </w:rPr>
      </w:pPr>
      <w:proofErr w:type="gramStart"/>
      <w:r w:rsidRPr="008B3C4E">
        <w:rPr>
          <w:rFonts w:ascii="Arial" w:hAnsi="Arial" w:cs="Arial"/>
          <w:sz w:val="22"/>
          <w:szCs w:val="22"/>
        </w:rPr>
        <w:t>produits</w:t>
      </w:r>
      <w:proofErr w:type="gramEnd"/>
      <w:r w:rsidRPr="008B3C4E">
        <w:rPr>
          <w:rFonts w:ascii="Arial" w:hAnsi="Arial" w:cs="Arial"/>
          <w:sz w:val="22"/>
          <w:szCs w:val="22"/>
        </w:rPr>
        <w:t xml:space="preserve"> équivalents aux produits bénéficiant de ces mentions ou labels.</w:t>
      </w:r>
    </w:p>
    <w:p w14:paraId="6F74240C" w14:textId="77777777" w:rsidR="007473DD" w:rsidRPr="008B3C4E" w:rsidRDefault="007473DD" w:rsidP="007473DD">
      <w:pPr>
        <w:spacing w:before="120"/>
        <w:ind w:firstLine="0"/>
        <w:jc w:val="both"/>
        <w:rPr>
          <w:rFonts w:ascii="Arial" w:hAnsi="Arial" w:cs="Arial"/>
          <w:sz w:val="22"/>
          <w:szCs w:val="22"/>
        </w:rPr>
      </w:pPr>
    </w:p>
    <w:p w14:paraId="5597E462" w14:textId="77777777" w:rsidR="00314BD9" w:rsidRDefault="00314BD9"/>
    <w:sectPr w:rsidR="00314BD9" w:rsidSect="007473DD">
      <w:footerReference w:type="default" r:id="rId17"/>
      <w:pgSz w:w="11906" w:h="16838" w:code="9"/>
      <w:pgMar w:top="993" w:right="1418" w:bottom="993" w:left="1418" w:header="720" w:footer="45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493358" w14:textId="77777777" w:rsidR="001D62C7" w:rsidRDefault="00D00A16">
      <w:r>
        <w:separator/>
      </w:r>
    </w:p>
  </w:endnote>
  <w:endnote w:type="continuationSeparator" w:id="0">
    <w:p w14:paraId="71F21F92" w14:textId="77777777" w:rsidR="001D62C7" w:rsidRDefault="00D00A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4DF110" w14:textId="77777777" w:rsidR="009F2248" w:rsidRPr="00C26CDE" w:rsidRDefault="007473DD" w:rsidP="00AD1469">
    <w:pPr>
      <w:pStyle w:val="Pieddepage"/>
      <w:pBdr>
        <w:top w:val="single" w:sz="4" w:space="1" w:color="A5A5A5"/>
      </w:pBdr>
      <w:ind w:firstLine="0"/>
      <w:rPr>
        <w:rFonts w:ascii="Arial" w:hAnsi="Arial" w:cs="Arial"/>
        <w:i/>
        <w:sz w:val="14"/>
        <w:szCs w:val="14"/>
      </w:rPr>
    </w:pPr>
    <w:r>
      <w:rPr>
        <w:rFonts w:ascii="Arial" w:hAnsi="Arial" w:cs="Arial"/>
        <w:i/>
        <w:sz w:val="14"/>
        <w:szCs w:val="14"/>
      </w:rPr>
      <w:t xml:space="preserve">Groupement de commandes - </w:t>
    </w:r>
    <w:r w:rsidRPr="00C26CDE">
      <w:rPr>
        <w:rFonts w:ascii="Arial" w:hAnsi="Arial" w:cs="Arial"/>
        <w:i/>
        <w:sz w:val="14"/>
        <w:szCs w:val="14"/>
      </w:rPr>
      <w:t>Université de Lorrain</w:t>
    </w:r>
    <w:r>
      <w:rPr>
        <w:rFonts w:ascii="Arial" w:hAnsi="Arial" w:cs="Arial"/>
        <w:i/>
        <w:sz w:val="14"/>
        <w:szCs w:val="14"/>
      </w:rPr>
      <w:t>e - CNRS</w:t>
    </w:r>
    <w:r w:rsidRPr="00C26CDE">
      <w:rPr>
        <w:rFonts w:ascii="Arial" w:hAnsi="Arial" w:cs="Arial"/>
        <w:i/>
        <w:sz w:val="14"/>
        <w:szCs w:val="14"/>
      </w:rPr>
      <w:tab/>
    </w:r>
    <w:r>
      <w:rPr>
        <w:rFonts w:ascii="Arial" w:hAnsi="Arial" w:cs="Arial"/>
        <w:i/>
        <w:sz w:val="14"/>
        <w:szCs w:val="14"/>
      </w:rPr>
      <w:t xml:space="preserve">          </w:t>
    </w:r>
    <w:r>
      <w:rPr>
        <w:rFonts w:ascii="Arial" w:hAnsi="Arial" w:cs="Arial"/>
        <w:i/>
        <w:sz w:val="14"/>
        <w:szCs w:val="14"/>
      </w:rPr>
      <w:tab/>
    </w:r>
    <w:r w:rsidRPr="00C26CDE">
      <w:rPr>
        <w:rFonts w:ascii="Arial" w:hAnsi="Arial" w:cs="Arial"/>
        <w:i/>
        <w:sz w:val="14"/>
        <w:szCs w:val="14"/>
      </w:rPr>
      <w:t xml:space="preserve">Page </w:t>
    </w:r>
    <w:r w:rsidRPr="00C26CDE">
      <w:rPr>
        <w:rFonts w:ascii="Arial" w:hAnsi="Arial" w:cs="Arial"/>
        <w:b/>
        <w:i/>
        <w:sz w:val="14"/>
        <w:szCs w:val="14"/>
      </w:rPr>
      <w:fldChar w:fldCharType="begin"/>
    </w:r>
    <w:r w:rsidRPr="00C26CDE">
      <w:rPr>
        <w:rFonts w:ascii="Arial" w:hAnsi="Arial" w:cs="Arial"/>
        <w:b/>
        <w:i/>
        <w:sz w:val="14"/>
        <w:szCs w:val="14"/>
      </w:rPr>
      <w:instrText>PAGE  \* Arabic  \* MERGEFORMAT</w:instrText>
    </w:r>
    <w:r w:rsidRPr="00C26CDE">
      <w:rPr>
        <w:rFonts w:ascii="Arial" w:hAnsi="Arial" w:cs="Arial"/>
        <w:b/>
        <w:i/>
        <w:sz w:val="14"/>
        <w:szCs w:val="14"/>
      </w:rPr>
      <w:fldChar w:fldCharType="separate"/>
    </w:r>
    <w:r>
      <w:rPr>
        <w:rFonts w:ascii="Arial" w:hAnsi="Arial" w:cs="Arial"/>
        <w:b/>
        <w:i/>
        <w:sz w:val="14"/>
        <w:szCs w:val="14"/>
      </w:rPr>
      <w:t>19</w:t>
    </w:r>
    <w:r w:rsidRPr="00C26CDE">
      <w:rPr>
        <w:rFonts w:ascii="Arial" w:hAnsi="Arial" w:cs="Arial"/>
        <w:b/>
        <w:i/>
        <w:sz w:val="14"/>
        <w:szCs w:val="14"/>
      </w:rPr>
      <w:fldChar w:fldCharType="end"/>
    </w:r>
    <w:r w:rsidRPr="00C26CDE">
      <w:rPr>
        <w:rFonts w:ascii="Arial" w:hAnsi="Arial" w:cs="Arial"/>
        <w:i/>
        <w:sz w:val="14"/>
        <w:szCs w:val="14"/>
      </w:rPr>
      <w:t xml:space="preserve"> sur </w:t>
    </w:r>
    <w:r w:rsidRPr="00C26CDE">
      <w:rPr>
        <w:rFonts w:ascii="Arial" w:hAnsi="Arial" w:cs="Arial"/>
        <w:b/>
        <w:i/>
        <w:sz w:val="14"/>
        <w:szCs w:val="14"/>
      </w:rPr>
      <w:fldChar w:fldCharType="begin"/>
    </w:r>
    <w:r w:rsidRPr="00C26CDE">
      <w:rPr>
        <w:rFonts w:ascii="Arial" w:hAnsi="Arial" w:cs="Arial"/>
        <w:b/>
        <w:i/>
        <w:sz w:val="14"/>
        <w:szCs w:val="14"/>
      </w:rPr>
      <w:instrText>NUMPAGES  \* Arabic  \* MERGEFORMAT</w:instrText>
    </w:r>
    <w:r w:rsidRPr="00C26CDE">
      <w:rPr>
        <w:rFonts w:ascii="Arial" w:hAnsi="Arial" w:cs="Arial"/>
        <w:b/>
        <w:i/>
        <w:sz w:val="14"/>
        <w:szCs w:val="14"/>
      </w:rPr>
      <w:fldChar w:fldCharType="separate"/>
    </w:r>
    <w:r>
      <w:rPr>
        <w:rFonts w:ascii="Arial" w:hAnsi="Arial" w:cs="Arial"/>
        <w:b/>
        <w:i/>
        <w:sz w:val="14"/>
        <w:szCs w:val="14"/>
      </w:rPr>
      <w:t>21</w:t>
    </w:r>
    <w:r w:rsidRPr="00C26CDE">
      <w:rPr>
        <w:rFonts w:ascii="Arial" w:hAnsi="Arial" w:cs="Arial"/>
        <w:b/>
        <w:i/>
        <w:sz w:val="14"/>
        <w:szCs w:val="14"/>
      </w:rPr>
      <w:fldChar w:fldCharType="end"/>
    </w:r>
  </w:p>
  <w:p w14:paraId="1B25E109" w14:textId="77777777" w:rsidR="009F2248" w:rsidRPr="00C26CDE" w:rsidRDefault="007473DD" w:rsidP="00AD1469">
    <w:pPr>
      <w:pStyle w:val="Pieddepage"/>
      <w:pBdr>
        <w:top w:val="single" w:sz="4" w:space="1" w:color="A5A5A5"/>
      </w:pBdr>
      <w:ind w:firstLine="0"/>
      <w:rPr>
        <w:rFonts w:ascii="Arial" w:hAnsi="Arial" w:cs="Arial"/>
        <w:i/>
        <w:sz w:val="14"/>
        <w:szCs w:val="14"/>
      </w:rPr>
    </w:pPr>
    <w:r w:rsidRPr="00C26CDE">
      <w:rPr>
        <w:rFonts w:ascii="Arial" w:hAnsi="Arial" w:cs="Arial"/>
        <w:i/>
        <w:sz w:val="14"/>
        <w:szCs w:val="14"/>
      </w:rPr>
      <w:t>Accord-cadre n°</w:t>
    </w:r>
    <w:r w:rsidRPr="00370639">
      <w:rPr>
        <w:rFonts w:ascii="Arial" w:hAnsi="Arial" w:cs="Arial"/>
        <w:i/>
        <w:sz w:val="14"/>
        <w:szCs w:val="14"/>
      </w:rPr>
      <w:t>25A0</w:t>
    </w:r>
    <w:r>
      <w:rPr>
        <w:rFonts w:ascii="Arial" w:hAnsi="Arial" w:cs="Arial"/>
        <w:i/>
        <w:sz w:val="14"/>
        <w:szCs w:val="14"/>
      </w:rPr>
      <w:t>6</w:t>
    </w:r>
  </w:p>
  <w:p w14:paraId="1736D13E" w14:textId="77777777" w:rsidR="009F2248" w:rsidRPr="00487C4C" w:rsidRDefault="007473DD" w:rsidP="00AD1469">
    <w:pPr>
      <w:pStyle w:val="Pieddepage"/>
      <w:pBdr>
        <w:top w:val="single" w:sz="4" w:space="1" w:color="A5A5A5"/>
      </w:pBdr>
      <w:ind w:firstLine="0"/>
      <w:rPr>
        <w:rFonts w:ascii="Arial" w:hAnsi="Arial" w:cs="Arial"/>
        <w:i/>
        <w:sz w:val="14"/>
        <w:szCs w:val="14"/>
      </w:rPr>
    </w:pPr>
    <w:r w:rsidRPr="00C26CDE">
      <w:rPr>
        <w:rFonts w:ascii="Arial" w:hAnsi="Arial" w:cs="Arial"/>
        <w:i/>
        <w:sz w:val="14"/>
        <w:szCs w:val="14"/>
      </w:rPr>
      <w:t xml:space="preserve">Cahier des clauses </w:t>
    </w:r>
    <w:r>
      <w:rPr>
        <w:rFonts w:ascii="Arial" w:hAnsi="Arial" w:cs="Arial"/>
        <w:i/>
        <w:sz w:val="14"/>
        <w:szCs w:val="14"/>
      </w:rPr>
      <w:t>techniques</w:t>
    </w:r>
    <w:r w:rsidRPr="00C26CDE">
      <w:rPr>
        <w:rFonts w:ascii="Arial" w:hAnsi="Arial" w:cs="Arial"/>
        <w:i/>
        <w:sz w:val="14"/>
        <w:szCs w:val="14"/>
      </w:rPr>
      <w:t xml:space="preserve"> particulières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D00CC2" w14:textId="77777777" w:rsidR="001D62C7" w:rsidRDefault="00D00A16">
      <w:r>
        <w:separator/>
      </w:r>
    </w:p>
  </w:footnote>
  <w:footnote w:type="continuationSeparator" w:id="0">
    <w:p w14:paraId="0EC96A18" w14:textId="77777777" w:rsidR="001D62C7" w:rsidRDefault="00D00A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0142D23"/>
    <w:multiLevelType w:val="hybridMultilevel"/>
    <w:tmpl w:val="B71C52C8"/>
    <w:lvl w:ilvl="0" w:tplc="A538D344">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847"/>
    <w:rsid w:val="001D62C7"/>
    <w:rsid w:val="00314BD9"/>
    <w:rsid w:val="006C4847"/>
    <w:rsid w:val="00733477"/>
    <w:rsid w:val="007473DD"/>
    <w:rsid w:val="00D00A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EFD88"/>
  <w15:chartTrackingRefBased/>
  <w15:docId w15:val="{4EF53849-A5CF-4E55-AD9B-5BB00AC03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473DD"/>
    <w:pPr>
      <w:spacing w:after="0" w:line="240" w:lineRule="auto"/>
      <w:ind w:firstLine="284"/>
    </w:pPr>
    <w:rPr>
      <w:rFonts w:ascii="Times New Roman" w:eastAsia="Times New Roman" w:hAnsi="Times New Roman" w:cs="Times New Roman"/>
      <w:sz w:val="20"/>
      <w:szCs w:val="24"/>
      <w:lang w:eastAsia="fr-FR"/>
    </w:rPr>
  </w:style>
  <w:style w:type="paragraph" w:styleId="Titre1">
    <w:name w:val="heading 1"/>
    <w:basedOn w:val="Normal"/>
    <w:next w:val="Normal"/>
    <w:link w:val="Titre1Car"/>
    <w:uiPriority w:val="9"/>
    <w:qFormat/>
    <w:rsid w:val="007473DD"/>
    <w:pPr>
      <w:shd w:val="clear" w:color="auto" w:fill="D9D9D9"/>
      <w:spacing w:before="480" w:after="240"/>
      <w:ind w:firstLine="0"/>
      <w:jc w:val="both"/>
      <w:outlineLvl w:val="0"/>
    </w:pPr>
    <w:rPr>
      <w:rFonts w:ascii="Calibri Light" w:hAnsi="Calibri Light"/>
      <w:b/>
      <w:bCs/>
      <w:caps/>
      <w:spacing w:val="15"/>
      <w:sz w:val="3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473DD"/>
    <w:rPr>
      <w:rFonts w:ascii="Calibri Light" w:eastAsia="Times New Roman" w:hAnsi="Calibri Light" w:cs="Times New Roman"/>
      <w:b/>
      <w:bCs/>
      <w:caps/>
      <w:spacing w:val="15"/>
      <w:sz w:val="32"/>
      <w:shd w:val="clear" w:color="auto" w:fill="D9D9D9"/>
    </w:rPr>
  </w:style>
  <w:style w:type="paragraph" w:styleId="Paragraphedeliste">
    <w:name w:val="List Paragraph"/>
    <w:basedOn w:val="Normal"/>
    <w:uiPriority w:val="34"/>
    <w:qFormat/>
    <w:rsid w:val="007473DD"/>
    <w:pPr>
      <w:spacing w:before="200" w:after="200" w:line="276" w:lineRule="auto"/>
      <w:ind w:left="720"/>
      <w:contextualSpacing/>
    </w:pPr>
    <w:rPr>
      <w:rFonts w:ascii="Calibri" w:hAnsi="Calibri"/>
      <w:szCs w:val="20"/>
      <w:lang w:eastAsia="en-US"/>
    </w:rPr>
  </w:style>
  <w:style w:type="paragraph" w:styleId="Pieddepage">
    <w:name w:val="footer"/>
    <w:basedOn w:val="Normal"/>
    <w:link w:val="PieddepageCar"/>
    <w:uiPriority w:val="99"/>
    <w:rsid w:val="007473DD"/>
    <w:pPr>
      <w:tabs>
        <w:tab w:val="center" w:pos="4536"/>
        <w:tab w:val="right" w:pos="9072"/>
      </w:tabs>
    </w:pPr>
  </w:style>
  <w:style w:type="character" w:customStyle="1" w:styleId="PieddepageCar">
    <w:name w:val="Pied de page Car"/>
    <w:basedOn w:val="Policepardfaut"/>
    <w:link w:val="Pieddepage"/>
    <w:uiPriority w:val="99"/>
    <w:rsid w:val="007473DD"/>
    <w:rPr>
      <w:rFonts w:ascii="Times New Roman" w:eastAsia="Times New Roman" w:hAnsi="Times New Roman" w:cs="Times New Roman"/>
      <w:sz w:val="20"/>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485</Words>
  <Characters>2670</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Université de Lorraine</Company>
  <LinksUpToDate>false</LinksUpToDate>
  <CharactersWithSpaces>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Laurie Spiquel</dc:creator>
  <cp:keywords/>
  <dc:description/>
  <cp:lastModifiedBy>Laurie Spiquel</cp:lastModifiedBy>
  <cp:revision>4</cp:revision>
  <cp:lastPrinted>2025-07-08T08:11:00Z</cp:lastPrinted>
  <dcterms:created xsi:type="dcterms:W3CDTF">2025-06-21T13:07:00Z</dcterms:created>
  <dcterms:modified xsi:type="dcterms:W3CDTF">2025-07-08T08:12:00Z</dcterms:modified>
</cp:coreProperties>
</file>